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6"/>
        <w:gridCol w:w="3575"/>
        <w:gridCol w:w="3128"/>
      </w:tblGrid>
      <w:tr w:rsidR="00AA2790" w:rsidTr="008213F2">
        <w:trPr>
          <w:trHeight w:val="23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Conceptos</w:t>
            </w:r>
          </w:p>
        </w:tc>
        <w:tc>
          <w:tcPr>
            <w:tcW w:w="3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Procedimientos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Actitudes</w:t>
            </w:r>
          </w:p>
        </w:tc>
      </w:tr>
      <w:tr w:rsidR="00AA2790" w:rsidTr="008213F2">
        <w:trPr>
          <w:trHeight w:val="23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-La profesión sanitaria.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-Nombre de las distintas partes del cuerpo.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-Vocabulario en inglés.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-Disfrazarse acorde al atuendo de la actividad.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-Identificación y reconocimiento de las partes del cuerpo aprendidas.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-Desarrollo de la coordinación motora.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-Participación activa a la hora del juego libre y del baile.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-Iniciativa e interés por participar en las actvidades (baile, fichas...).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-Valoración y respeto por la profesión trabajada.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-Motivación y curiosidad por la profesión.</w:t>
            </w:r>
          </w:p>
          <w:p w:rsidR="00AA2790" w:rsidRDefault="00AA2790" w:rsidP="008213F2">
            <w:pPr>
              <w:autoSpaceDE w:val="0"/>
              <w:spacing w:line="276" w:lineRule="auto"/>
              <w:jc w:val="both"/>
            </w:pPr>
            <w:r>
              <w:rPr>
                <w:rFonts w:ascii="Verdana" w:eastAsia="Candara" w:hAnsi="Verdana" w:cs="Verdana"/>
                <w:lang/>
              </w:rPr>
              <w:t>-Expresión de los miedos, gustos y dolores en el juego simbólico.</w:t>
            </w:r>
          </w:p>
        </w:tc>
      </w:tr>
    </w:tbl>
    <w:p w:rsidR="00752F61" w:rsidRDefault="00752F61">
      <w:bookmarkStart w:id="0" w:name="_GoBack"/>
      <w:bookmarkEnd w:id="0"/>
    </w:p>
    <w:sectPr w:rsidR="00752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90"/>
    <w:rsid w:val="00752F61"/>
    <w:rsid w:val="00AA2790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2013-12-15T10:43:00Z</dcterms:created>
  <dcterms:modified xsi:type="dcterms:W3CDTF">2013-12-15T10:43:00Z</dcterms:modified>
</cp:coreProperties>
</file>